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Rozkłady zajęć dla kierunku Informatyka, semestr 2 w semestrze zimowym, rok akademicki 2025/26</w:t>
      </w:r>
    </w:p>
    <w:p>
      <w:pPr>
        <w:pStyle w:val="Heading1"/>
      </w:pPr>
      <w:r>
        <w:t>Poniedziałek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Inteligente systemy bezpieczeństwa komputerowego</w:t>
            </w:r>
          </w:p>
        </w:tc>
        <w:tc>
          <w:tcPr>
            <w:tcW w:type="dxa" w:w="1757"/>
          </w:tcPr>
          <w:p>
            <w:r>
              <w:t>dr P. Świtalski</w:t>
            </w:r>
          </w:p>
        </w:tc>
        <w:tc>
          <w:tcPr>
            <w:tcW w:type="dxa" w:w="1757"/>
          </w:tcPr>
          <w:p>
            <w:r>
              <w:t>sala 231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Inteligente systemy bezpieczeństwa komputerowego</w:t>
            </w:r>
          </w:p>
        </w:tc>
        <w:tc>
          <w:tcPr>
            <w:tcW w:type="dxa" w:w="1757"/>
          </w:tcPr>
          <w:p>
            <w:r>
              <w:t>dr P. Świtalski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Widzenie komputerowe</w:t>
            </w:r>
          </w:p>
        </w:tc>
        <w:tc>
          <w:tcPr>
            <w:tcW w:type="dxa" w:w="1757"/>
          </w:tcPr>
          <w:p>
            <w:r>
              <w:t>dr A. Salamończyk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</w:tbl>
    <w:p>
      <w:pPr>
        <w:pStyle w:val="Heading1"/>
      </w:pPr>
      <w:r>
        <w:t>Wtorek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Język angielski specjalistyczny</w:t>
            </w:r>
          </w:p>
        </w:tc>
        <w:tc>
          <w:tcPr>
            <w:tcW w:type="dxa" w:w="1757"/>
          </w:tcPr>
          <w:p>
            <w:r>
              <w:t>mgr J. Madej-Borychowska</w:t>
            </w:r>
          </w:p>
        </w:tc>
        <w:tc>
          <w:tcPr>
            <w:tcW w:type="dxa" w:w="1757"/>
          </w:tcPr>
          <w:p>
            <w:r>
              <w:t>sala 324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10:30-12:15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Widzenie komputerowe</w:t>
            </w:r>
          </w:p>
        </w:tc>
        <w:tc>
          <w:tcPr>
            <w:tcW w:type="dxa" w:w="1757"/>
          </w:tcPr>
          <w:p>
            <w:r>
              <w:t>mgr inż. M. Wereszczyńska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Środa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Cloud computing: programming and security</w:t>
            </w:r>
          </w:p>
        </w:tc>
        <w:tc>
          <w:tcPr>
            <w:tcW w:type="dxa" w:w="1757"/>
          </w:tcPr>
          <w:p>
            <w:r>
              <w:t>prof. F. Seredyński</w:t>
            </w:r>
          </w:p>
        </w:tc>
        <w:tc>
          <w:tcPr>
            <w:tcW w:type="dxa" w:w="1757"/>
          </w:tcPr>
          <w:p>
            <w:r>
              <w:t>sala A130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Cloud computing: programming and security</w:t>
            </w:r>
          </w:p>
        </w:tc>
        <w:tc>
          <w:tcPr>
            <w:tcW w:type="dxa" w:w="1757"/>
          </w:tcPr>
          <w:p>
            <w:r>
              <w:t>prof. F. Seredyński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Internet rzeczy i sterowanie robotami</w:t>
            </w:r>
          </w:p>
        </w:tc>
        <w:tc>
          <w:tcPr>
            <w:tcW w:type="dxa" w:w="1757"/>
          </w:tcPr>
          <w:p>
            <w:r>
              <w:t>dr M. Stępniak</w:t>
            </w:r>
          </w:p>
        </w:tc>
        <w:tc>
          <w:tcPr>
            <w:tcW w:type="dxa" w:w="1757"/>
          </w:tcPr>
          <w:p>
            <w:r>
              <w:t>sala 231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Internet rzeczy i sterowanie robotami</w:t>
            </w:r>
          </w:p>
        </w:tc>
        <w:tc>
          <w:tcPr>
            <w:tcW w:type="dxa" w:w="1757"/>
          </w:tcPr>
          <w:p>
            <w:r>
              <w:t>dr M. Stępniak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Czwartek</w:t>
      </w:r>
    </w:p>
    <w:p>
      <w:pPr>
        <w:pStyle w:val="Heading1"/>
      </w:pPr>
      <w:r>
        <w:t>Piątek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08:00-10:15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Badania operacyjne</w:t>
            </w:r>
          </w:p>
        </w:tc>
        <w:tc>
          <w:tcPr>
            <w:tcW w:type="dxa" w:w="1757"/>
          </w:tcPr>
          <w:p>
            <w:r>
              <w:t>dr A. Wawrzyńczak-Szaban</w:t>
            </w:r>
          </w:p>
        </w:tc>
        <w:tc>
          <w:tcPr>
            <w:tcW w:type="dxa" w:w="1757"/>
          </w:tcPr>
          <w:p>
            <w:r>
              <w:t>sala 231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08:00-10:15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Badania operacyjne</w:t>
            </w:r>
          </w:p>
        </w:tc>
        <w:tc>
          <w:tcPr>
            <w:tcW w:type="dxa" w:w="1757"/>
          </w:tcPr>
          <w:p>
            <w:r>
              <w:t>dr A. Wawrzyńczak-Szaban</w:t>
            </w:r>
          </w:p>
        </w:tc>
        <w:tc>
          <w:tcPr>
            <w:tcW w:type="dxa" w:w="1757"/>
          </w:tcPr>
          <w:p>
            <w:r>
              <w:t>sala 139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10:30-12:45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Uczenie głębokich sieci neuronowych</w:t>
            </w:r>
          </w:p>
        </w:tc>
        <w:tc>
          <w:tcPr>
            <w:tcW w:type="dxa" w:w="1757"/>
          </w:tcPr>
          <w:p>
            <w:r>
              <w:t>dr A. Wawrzyńczak-Szaban</w:t>
            </w:r>
          </w:p>
        </w:tc>
        <w:tc>
          <w:tcPr>
            <w:tcW w:type="dxa" w:w="1757"/>
          </w:tcPr>
          <w:p>
            <w:r>
              <w:t>sala 231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10:30-12:45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Uczenie głębokich sieci neuronowych</w:t>
            </w:r>
          </w:p>
        </w:tc>
        <w:tc>
          <w:tcPr>
            <w:tcW w:type="dxa" w:w="1757"/>
          </w:tcPr>
          <w:p>
            <w:r>
              <w:t>mgr inż. D. Filipczuk</w:t>
            </w:r>
          </w:p>
        </w:tc>
        <w:tc>
          <w:tcPr>
            <w:tcW w:type="dxa" w:w="1757"/>
          </w:tcPr>
          <w:p>
            <w:r>
              <w:t>sala 139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